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AFB5" w14:textId="77D0FD53" w:rsidR="00AD11BD" w:rsidRPr="008D178A" w:rsidRDefault="003F195D">
      <w:pPr>
        <w:pStyle w:val="Titre1"/>
        <w:rPr>
          <w:lang w:val="fr-FR"/>
        </w:rPr>
      </w:pPr>
      <w:r w:rsidRPr="008D178A">
        <w:rPr>
          <w:lang w:val="fr-FR"/>
        </w:rPr>
        <w:t>Le droit d’usage résidentiel</w:t>
      </w:r>
    </w:p>
    <w:p w14:paraId="42146BD9" w14:textId="77777777" w:rsidR="00AD11BD" w:rsidRPr="008D178A" w:rsidRDefault="003F195D">
      <w:pPr>
        <w:pStyle w:val="Titre2"/>
        <w:rPr>
          <w:lang w:val="fr-FR"/>
        </w:rPr>
      </w:pPr>
      <w:r w:rsidRPr="008D178A">
        <w:rPr>
          <w:lang w:val="fr-FR"/>
        </w:rPr>
        <w:t>Un concept simple : séparer le foncier et l’usage</w:t>
      </w:r>
    </w:p>
    <w:p w14:paraId="247A4D68" w14:textId="7CDFDAA6" w:rsidR="00AD11BD" w:rsidRPr="008D178A" w:rsidRDefault="003F195D">
      <w:pPr>
        <w:rPr>
          <w:lang w:val="fr-FR"/>
        </w:rPr>
      </w:pPr>
      <w:r w:rsidRPr="008D178A">
        <w:rPr>
          <w:lang w:val="fr-FR"/>
        </w:rPr>
        <w:t>Le modèle</w:t>
      </w:r>
      <w:r w:rsidRPr="008D178A">
        <w:rPr>
          <w:lang w:val="fr-FR"/>
        </w:rPr>
        <w:t xml:space="preserve"> repose sur un principe clair : séparer la propriété du terrain (le foncier) de l’usage de la maison. Le résident n’achète pas un bien immobilier au sens classique, mais un droit d’usage résidentiel à durée indéterminée, qui lui permet d’occuper une maison personnalisée dans un cadre collectif et sécurisé.</w:t>
      </w:r>
      <w:r w:rsidRPr="008D178A">
        <w:rPr>
          <w:lang w:val="fr-FR"/>
        </w:rPr>
        <w:br/>
      </w:r>
      <w:r w:rsidRPr="008D178A">
        <w:rPr>
          <w:lang w:val="fr-FR"/>
        </w:rPr>
        <w:br/>
        <w:t>Cette formule combine les avantages de la propriété (stabilité, cadre choisi, indépendance) et ceux de la location (simplicité, absence de charges foncières, liberté). Elle évite les contraintes successo</w:t>
      </w:r>
      <w:r w:rsidRPr="008D178A">
        <w:rPr>
          <w:lang w:val="fr-FR"/>
        </w:rPr>
        <w:t>rales ou fiscales d’un achat à l’étranger tout en garantissant un cadre légal clair et durable.</w:t>
      </w:r>
    </w:p>
    <w:p w14:paraId="02F86600" w14:textId="77777777" w:rsidR="00AD11BD" w:rsidRPr="008D178A" w:rsidRDefault="003F195D">
      <w:pPr>
        <w:pStyle w:val="Titre2"/>
        <w:rPr>
          <w:lang w:val="fr-FR"/>
        </w:rPr>
      </w:pPr>
      <w:r w:rsidRPr="008D178A">
        <w:rPr>
          <w:lang w:val="fr-FR"/>
        </w:rPr>
        <w:t>Un droit d’entrée résidentiel au lieu d’un achat</w:t>
      </w:r>
    </w:p>
    <w:p w14:paraId="0E6DD1F7" w14:textId="3C17BCBA" w:rsidR="00AD11BD" w:rsidRPr="008D178A" w:rsidRDefault="003F195D">
      <w:pPr>
        <w:rPr>
          <w:lang w:val="fr-FR"/>
        </w:rPr>
      </w:pPr>
      <w:r w:rsidRPr="008D178A">
        <w:rPr>
          <w:lang w:val="fr-FR"/>
        </w:rPr>
        <w:t xml:space="preserve">L’accès à la résidence se fait par le versement d’un droit d’entrée résidentiel </w:t>
      </w:r>
      <w:proofErr w:type="spellStart"/>
      <w:r w:rsidRPr="008D178A">
        <w:rPr>
          <w:lang w:val="fr-FR"/>
        </w:rPr>
        <w:t>fix</w:t>
      </w:r>
      <w:r w:rsidR="009C7A88">
        <w:rPr>
          <w:lang w:val="fr-FR"/>
        </w:rPr>
        <w:t>é</w:t>
      </w:r>
      <w:r w:rsidRPr="008D178A">
        <w:rPr>
          <w:lang w:val="fr-FR"/>
        </w:rPr>
        <w:t>,</w:t>
      </w:r>
      <w:r w:rsidRPr="008D178A">
        <w:rPr>
          <w:lang w:val="fr-FR"/>
        </w:rPr>
        <w:t>selon</w:t>
      </w:r>
      <w:proofErr w:type="spellEnd"/>
      <w:r w:rsidRPr="008D178A">
        <w:rPr>
          <w:lang w:val="fr-FR"/>
        </w:rPr>
        <w:t xml:space="preserve"> le modèle de maison choisi</w:t>
      </w:r>
      <w:r w:rsidR="008D178A">
        <w:rPr>
          <w:lang w:val="fr-FR"/>
        </w:rPr>
        <w:t xml:space="preserve"> et la personnalisation souhaitée.</w:t>
      </w:r>
      <w:r w:rsidRPr="008D178A">
        <w:rPr>
          <w:lang w:val="fr-FR"/>
        </w:rPr>
        <w:t xml:space="preserve"> Ce montant n’est pas un achat, mais une contribution à la construction du logement et à la garantie du droit d’usage à durée indéterminée.</w:t>
      </w:r>
      <w:r w:rsidRPr="008D178A">
        <w:rPr>
          <w:lang w:val="fr-FR"/>
        </w:rPr>
        <w:br/>
      </w:r>
      <w:r w:rsidRPr="008D178A">
        <w:rPr>
          <w:lang w:val="fr-FR"/>
        </w:rPr>
        <w:br/>
        <w:t>Le résident bénéficie ensuite d’une franchise de deux ans, pendant laquelle aucune mensualité n’est due. À partir de la troisième année</w:t>
      </w:r>
      <w:r w:rsidR="001F2F5E">
        <w:rPr>
          <w:lang w:val="fr-FR"/>
        </w:rPr>
        <w:t xml:space="preserve">, </w:t>
      </w:r>
      <w:r w:rsidR="001847F0">
        <w:rPr>
          <w:lang w:val="fr-FR"/>
        </w:rPr>
        <w:t>après remise des clés</w:t>
      </w:r>
      <w:r w:rsidR="001F2F5E">
        <w:rPr>
          <w:lang w:val="fr-FR"/>
        </w:rPr>
        <w:t xml:space="preserve">, </w:t>
      </w:r>
      <w:r w:rsidRPr="008D178A">
        <w:rPr>
          <w:lang w:val="fr-FR"/>
        </w:rPr>
        <w:t xml:space="preserve"> il s’acquitte d’une redevance mensuelle de 890 €, couvrant </w:t>
      </w:r>
      <w:r w:rsidR="008D178A">
        <w:rPr>
          <w:lang w:val="fr-FR"/>
        </w:rPr>
        <w:t xml:space="preserve">par exemple, </w:t>
      </w:r>
      <w:r w:rsidRPr="008D178A">
        <w:rPr>
          <w:lang w:val="fr-FR"/>
        </w:rPr>
        <w:t>l</w:t>
      </w:r>
      <w:r w:rsidR="001F2F5E">
        <w:rPr>
          <w:lang w:val="fr-FR"/>
        </w:rPr>
        <w:t>e droit d’usag</w:t>
      </w:r>
      <w:r w:rsidR="00AF3F20">
        <w:rPr>
          <w:lang w:val="fr-FR"/>
        </w:rPr>
        <w:t xml:space="preserve">e résidentiel </w:t>
      </w:r>
      <w:r w:rsidRPr="008D178A">
        <w:rPr>
          <w:lang w:val="fr-FR"/>
        </w:rPr>
        <w:t>d</w:t>
      </w:r>
      <w:r w:rsidR="008D178A">
        <w:rPr>
          <w:lang w:val="fr-FR"/>
        </w:rPr>
        <w:t>’une</w:t>
      </w:r>
      <w:r w:rsidRPr="008D178A">
        <w:rPr>
          <w:lang w:val="fr-FR"/>
        </w:rPr>
        <w:t xml:space="preserve"> maison</w:t>
      </w:r>
      <w:r w:rsidR="008D178A">
        <w:rPr>
          <w:lang w:val="fr-FR"/>
        </w:rPr>
        <w:t xml:space="preserve"> T2</w:t>
      </w:r>
      <w:r w:rsidRPr="008D178A">
        <w:rPr>
          <w:lang w:val="fr-FR"/>
        </w:rPr>
        <w:br/>
      </w:r>
      <w:r w:rsidRPr="008D178A">
        <w:rPr>
          <w:lang w:val="fr-FR"/>
        </w:rPr>
        <w:br/>
        <w:t>En comparaison avec une résidence senior français</w:t>
      </w:r>
      <w:r w:rsidR="008D178A">
        <w:rPr>
          <w:lang w:val="fr-FR"/>
        </w:rPr>
        <w:t>e</w:t>
      </w:r>
      <w:r w:rsidRPr="008D178A">
        <w:rPr>
          <w:lang w:val="fr-FR"/>
        </w:rPr>
        <w:t>, cette formule représente une économie moyenne de 25 000 € à 30 000 € sur deux ans, avec une maison individuelle</w:t>
      </w:r>
      <w:r w:rsidR="008D178A">
        <w:rPr>
          <w:lang w:val="fr-FR"/>
        </w:rPr>
        <w:t xml:space="preserve"> personnalisée avec </w:t>
      </w:r>
      <w:r w:rsidRPr="008D178A">
        <w:rPr>
          <w:lang w:val="fr-FR"/>
        </w:rPr>
        <w:t>piscine et services.</w:t>
      </w:r>
    </w:p>
    <w:p w14:paraId="261C9A8B" w14:textId="77777777" w:rsidR="00AD11BD" w:rsidRPr="008D178A" w:rsidRDefault="003F195D">
      <w:pPr>
        <w:pStyle w:val="Titre2"/>
        <w:rPr>
          <w:lang w:val="fr-FR"/>
        </w:rPr>
      </w:pPr>
      <w:r w:rsidRPr="008D178A">
        <w:rPr>
          <w:lang w:val="fr-FR"/>
        </w:rPr>
        <w:t>Un contrat enregistré et un cadre transparent</w:t>
      </w:r>
    </w:p>
    <w:p w14:paraId="32619E9D" w14:textId="198CE466" w:rsidR="00AD11BD" w:rsidRPr="008D178A" w:rsidRDefault="003F195D">
      <w:pPr>
        <w:rPr>
          <w:lang w:val="fr-FR"/>
        </w:rPr>
      </w:pPr>
      <w:r w:rsidRPr="008D178A">
        <w:rPr>
          <w:lang w:val="fr-FR"/>
        </w:rPr>
        <w:t>Le droit d’usage résidentiel fait l’objet d’un contrat individuel enregistré auprès des autorités tunisiennes. Ce document précise la durée indéterminée du droit, les conditions d’occupation, les obligations réciproques et les modalités de résiliation. L’enregistrement officiel confère au contrat sa pleine valeur légale.</w:t>
      </w:r>
    </w:p>
    <w:p w14:paraId="660EB7E3" w14:textId="77777777" w:rsidR="00AD11BD" w:rsidRPr="008D178A" w:rsidRDefault="003F195D">
      <w:pPr>
        <w:pStyle w:val="Titre2"/>
        <w:rPr>
          <w:lang w:val="fr-FR"/>
        </w:rPr>
      </w:pPr>
      <w:r w:rsidRPr="008D178A">
        <w:rPr>
          <w:lang w:val="fr-FR"/>
        </w:rPr>
        <w:t>Un suivi rigoureux et une garantie de sécurité financière</w:t>
      </w:r>
    </w:p>
    <w:p w14:paraId="5DB16AE9" w14:textId="0B73C15B" w:rsidR="00AD11BD" w:rsidRPr="008D178A" w:rsidRDefault="003F195D">
      <w:pPr>
        <w:rPr>
          <w:lang w:val="fr-FR"/>
        </w:rPr>
      </w:pPr>
      <w:r w:rsidRPr="008D178A">
        <w:rPr>
          <w:lang w:val="fr-FR"/>
        </w:rPr>
        <w:t>Pour garantir la transparence et la bonne utilisation des fonds, le droit d’entrée résidentiel de</w:t>
      </w:r>
      <w:r w:rsidRPr="008D178A">
        <w:rPr>
          <w:lang w:val="fr-FR"/>
        </w:rPr>
        <w:t xml:space="preserve"> n’est pas versé directement en Tunisie. </w:t>
      </w:r>
      <w:r w:rsidR="00DC19F9">
        <w:rPr>
          <w:lang w:val="fr-FR"/>
        </w:rPr>
        <w:t>Deux</w:t>
      </w:r>
      <w:r w:rsidRPr="008D178A">
        <w:rPr>
          <w:lang w:val="fr-FR"/>
        </w:rPr>
        <w:t xml:space="preserve"> dispositifs sécurisés sont possibles :</w:t>
      </w:r>
      <w:r w:rsidRPr="008D178A">
        <w:rPr>
          <w:lang w:val="fr-FR"/>
        </w:rPr>
        <w:br/>
      </w:r>
      <w:r w:rsidRPr="008D178A">
        <w:rPr>
          <w:lang w:val="fr-FR"/>
        </w:rPr>
        <w:br/>
        <w:t xml:space="preserve">1. Dépôt auprès de l’association </w:t>
      </w:r>
      <w:proofErr w:type="spellStart"/>
      <w:r w:rsidRPr="008D178A">
        <w:rPr>
          <w:lang w:val="fr-FR"/>
        </w:rPr>
        <w:t>Librensemble</w:t>
      </w:r>
      <w:proofErr w:type="spellEnd"/>
      <w:r w:rsidRPr="008D178A">
        <w:rPr>
          <w:lang w:val="fr-FR"/>
        </w:rPr>
        <w:t xml:space="preserve">, agissant comme tiers de confiance. </w:t>
      </w:r>
      <w:proofErr w:type="spellStart"/>
      <w:r w:rsidRPr="008D178A">
        <w:rPr>
          <w:lang w:val="fr-FR"/>
        </w:rPr>
        <w:t>Librensemble</w:t>
      </w:r>
      <w:proofErr w:type="spellEnd"/>
      <w:r w:rsidRPr="008D178A">
        <w:rPr>
          <w:lang w:val="fr-FR"/>
        </w:rPr>
        <w:t xml:space="preserve"> conserve les fonds sur un compte dédié. Les sommes ne sont transférées en Tunisie qu’après présentation des constats d’huissier tunisiens validant l’avancement des travaux. Chaque libération est documentée et communiquée au résident.</w:t>
      </w:r>
      <w:r w:rsidRPr="008D178A">
        <w:rPr>
          <w:lang w:val="fr-FR"/>
        </w:rPr>
        <w:br/>
      </w:r>
      <w:r w:rsidRPr="008D178A">
        <w:rPr>
          <w:lang w:val="fr-FR"/>
        </w:rPr>
        <w:lastRenderedPageBreak/>
        <w:br/>
        <w:t>2. Certificat de dépôt chez le notaire du résident (en France). Le notaire conserve les fonds pour le compte du client et s’engage à effectue</w:t>
      </w:r>
      <w:r w:rsidRPr="008D178A">
        <w:rPr>
          <w:lang w:val="fr-FR"/>
        </w:rPr>
        <w:t>r les virements successifs sur présentation par mail des constats d’huissier établis en Tunisie. Ce dispositif offre une alternative équivalente, entièrement sous contrôle du résident.</w:t>
      </w:r>
    </w:p>
    <w:tbl>
      <w:tblPr>
        <w:tblW w:w="0" w:type="auto"/>
        <w:tblLook w:val="04A0" w:firstRow="1" w:lastRow="0" w:firstColumn="1" w:lastColumn="0" w:noHBand="0" w:noVBand="1"/>
      </w:tblPr>
      <w:tblGrid>
        <w:gridCol w:w="2880"/>
        <w:gridCol w:w="2880"/>
        <w:gridCol w:w="2880"/>
      </w:tblGrid>
      <w:tr w:rsidR="00AD11BD" w14:paraId="2F724D18" w14:textId="77777777">
        <w:tc>
          <w:tcPr>
            <w:tcW w:w="2880" w:type="dxa"/>
          </w:tcPr>
          <w:p w14:paraId="7A5F589D" w14:textId="77777777" w:rsidR="00AD11BD" w:rsidRDefault="003F195D">
            <w:r>
              <w:t>Étape de la construction</w:t>
            </w:r>
          </w:p>
        </w:tc>
        <w:tc>
          <w:tcPr>
            <w:tcW w:w="2880" w:type="dxa"/>
          </w:tcPr>
          <w:p w14:paraId="36D7756C" w14:textId="77777777" w:rsidR="00AD11BD" w:rsidRDefault="003F195D" w:rsidP="005151D5">
            <w:pPr>
              <w:jc w:val="center"/>
            </w:pPr>
            <w:r>
              <w:t>Pourcentage du montant total</w:t>
            </w:r>
          </w:p>
        </w:tc>
        <w:tc>
          <w:tcPr>
            <w:tcW w:w="2880" w:type="dxa"/>
          </w:tcPr>
          <w:p w14:paraId="02C089C7" w14:textId="77777777" w:rsidR="00AD11BD" w:rsidRDefault="003F195D">
            <w:r>
              <w:t>Condition de libération</w:t>
            </w:r>
          </w:p>
        </w:tc>
      </w:tr>
      <w:tr w:rsidR="00AD11BD" w14:paraId="17C3AD8E" w14:textId="77777777">
        <w:tc>
          <w:tcPr>
            <w:tcW w:w="2880" w:type="dxa"/>
          </w:tcPr>
          <w:p w14:paraId="4F04553B" w14:textId="77777777" w:rsidR="00AD11BD" w:rsidRPr="008D178A" w:rsidRDefault="003F195D">
            <w:pPr>
              <w:rPr>
                <w:lang w:val="fr-FR"/>
              </w:rPr>
            </w:pPr>
            <w:r w:rsidRPr="008D178A">
              <w:rPr>
                <w:lang w:val="fr-FR"/>
              </w:rPr>
              <w:t>Signature du contrat et lancement administratif</w:t>
            </w:r>
          </w:p>
        </w:tc>
        <w:tc>
          <w:tcPr>
            <w:tcW w:w="2880" w:type="dxa"/>
          </w:tcPr>
          <w:p w14:paraId="74469C29" w14:textId="77777777" w:rsidR="00AD11BD" w:rsidRDefault="003F195D" w:rsidP="005151D5">
            <w:pPr>
              <w:jc w:val="center"/>
            </w:pPr>
            <w:r>
              <w:t>15 %</w:t>
            </w:r>
          </w:p>
        </w:tc>
        <w:tc>
          <w:tcPr>
            <w:tcW w:w="2880" w:type="dxa"/>
          </w:tcPr>
          <w:p w14:paraId="53E1C808" w14:textId="77777777" w:rsidR="00AD11BD" w:rsidRDefault="003F195D">
            <w:r>
              <w:t>Enregistrement du contrat</w:t>
            </w:r>
          </w:p>
        </w:tc>
      </w:tr>
      <w:tr w:rsidR="00AD11BD" w14:paraId="27E2F436" w14:textId="77777777">
        <w:tc>
          <w:tcPr>
            <w:tcW w:w="2880" w:type="dxa"/>
          </w:tcPr>
          <w:p w14:paraId="48E5E179" w14:textId="77777777" w:rsidR="00AD11BD" w:rsidRDefault="003F195D">
            <w:r>
              <w:t>Réalisation des fondations</w:t>
            </w:r>
          </w:p>
        </w:tc>
        <w:tc>
          <w:tcPr>
            <w:tcW w:w="2880" w:type="dxa"/>
          </w:tcPr>
          <w:p w14:paraId="3607C456" w14:textId="77777777" w:rsidR="00AD11BD" w:rsidRDefault="003F195D" w:rsidP="005151D5">
            <w:pPr>
              <w:jc w:val="center"/>
            </w:pPr>
            <w:r>
              <w:t>20 %</w:t>
            </w:r>
          </w:p>
        </w:tc>
        <w:tc>
          <w:tcPr>
            <w:tcW w:w="2880" w:type="dxa"/>
          </w:tcPr>
          <w:p w14:paraId="6303E7DD" w14:textId="77777777" w:rsidR="00AD11BD" w:rsidRDefault="003F195D">
            <w:r>
              <w:t>Constat d’achèvement</w:t>
            </w:r>
          </w:p>
        </w:tc>
      </w:tr>
      <w:tr w:rsidR="00AD11BD" w14:paraId="55316BF4" w14:textId="77777777">
        <w:tc>
          <w:tcPr>
            <w:tcW w:w="2880" w:type="dxa"/>
          </w:tcPr>
          <w:p w14:paraId="48BF76CF" w14:textId="77777777" w:rsidR="00AD11BD" w:rsidRDefault="003F195D">
            <w:r>
              <w:t>Construction des murs porteurs</w:t>
            </w:r>
          </w:p>
        </w:tc>
        <w:tc>
          <w:tcPr>
            <w:tcW w:w="2880" w:type="dxa"/>
          </w:tcPr>
          <w:p w14:paraId="743DD011" w14:textId="77777777" w:rsidR="00AD11BD" w:rsidRDefault="003F195D" w:rsidP="005151D5">
            <w:pPr>
              <w:jc w:val="center"/>
            </w:pPr>
            <w:r>
              <w:t>20 %</w:t>
            </w:r>
          </w:p>
        </w:tc>
        <w:tc>
          <w:tcPr>
            <w:tcW w:w="2880" w:type="dxa"/>
          </w:tcPr>
          <w:p w14:paraId="02641976" w14:textId="77777777" w:rsidR="00AD11BD" w:rsidRDefault="003F195D">
            <w:r>
              <w:t>Constat d’avancement</w:t>
            </w:r>
          </w:p>
        </w:tc>
      </w:tr>
      <w:tr w:rsidR="00AD11BD" w:rsidRPr="00D922AD" w14:paraId="3AAC41E3" w14:textId="77777777">
        <w:tc>
          <w:tcPr>
            <w:tcW w:w="2880" w:type="dxa"/>
          </w:tcPr>
          <w:p w14:paraId="71E188FE" w14:textId="77777777" w:rsidR="00AD11BD" w:rsidRDefault="003F195D">
            <w:r>
              <w:t xml:space="preserve">Pose du </w:t>
            </w:r>
            <w:proofErr w:type="spellStart"/>
            <w:r>
              <w:t>toit</w:t>
            </w:r>
            <w:proofErr w:type="spellEnd"/>
          </w:p>
          <w:p w14:paraId="6407504C" w14:textId="67683122" w:rsidR="005151D5" w:rsidRPr="005151D5" w:rsidRDefault="005151D5" w:rsidP="005151D5">
            <w:pPr>
              <w:rPr>
                <w:lang w:val="fr-FR"/>
              </w:rPr>
            </w:pPr>
            <w:r w:rsidRPr="005151D5">
              <w:rPr>
                <w:lang w:val="fr-FR"/>
              </w:rPr>
              <w:t>Installation des sanitaires et d</w:t>
            </w:r>
            <w:r>
              <w:rPr>
                <w:lang w:val="fr-FR"/>
              </w:rPr>
              <w:t>e la cuisine</w:t>
            </w:r>
          </w:p>
        </w:tc>
        <w:tc>
          <w:tcPr>
            <w:tcW w:w="2880" w:type="dxa"/>
          </w:tcPr>
          <w:p w14:paraId="4B22E1D2" w14:textId="574F1D55" w:rsidR="00AD11BD" w:rsidRDefault="003F195D" w:rsidP="005151D5">
            <w:pPr>
              <w:jc w:val="center"/>
            </w:pPr>
            <w:r>
              <w:t>2</w:t>
            </w:r>
            <w:r w:rsidR="00A22336">
              <w:t>0</w:t>
            </w:r>
            <w:r>
              <w:t xml:space="preserve"> %</w:t>
            </w:r>
          </w:p>
          <w:p w14:paraId="07A07098" w14:textId="0889046C" w:rsidR="00A22336" w:rsidRDefault="00A22336" w:rsidP="005151D5">
            <w:pPr>
              <w:jc w:val="center"/>
            </w:pPr>
            <w:r>
              <w:t>1</w:t>
            </w:r>
            <w:r w:rsidR="0095631D">
              <w:t>5</w:t>
            </w:r>
            <w:r>
              <w:t>%</w:t>
            </w:r>
          </w:p>
        </w:tc>
        <w:tc>
          <w:tcPr>
            <w:tcW w:w="2880" w:type="dxa"/>
          </w:tcPr>
          <w:p w14:paraId="4E06AF58" w14:textId="77777777" w:rsidR="00AD11BD" w:rsidRPr="00D922AD" w:rsidRDefault="003F195D">
            <w:pPr>
              <w:rPr>
                <w:lang w:val="fr-FR"/>
              </w:rPr>
            </w:pPr>
            <w:r w:rsidRPr="00D922AD">
              <w:rPr>
                <w:lang w:val="fr-FR"/>
              </w:rPr>
              <w:t>Validation du clos-couvert</w:t>
            </w:r>
          </w:p>
          <w:p w14:paraId="310C29CC" w14:textId="2CAB00CB" w:rsidR="005151D5" w:rsidRPr="00D922AD" w:rsidRDefault="00D922AD" w:rsidP="0095631D">
            <w:pPr>
              <w:rPr>
                <w:lang w:val="fr-FR"/>
              </w:rPr>
            </w:pPr>
            <w:r>
              <w:rPr>
                <w:lang w:val="fr-FR"/>
              </w:rPr>
              <w:t xml:space="preserve">Constat de </w:t>
            </w:r>
            <w:proofErr w:type="spellStart"/>
            <w:r>
              <w:rPr>
                <w:lang w:val="fr-FR"/>
              </w:rPr>
              <w:t>conformoté</w:t>
            </w:r>
            <w:proofErr w:type="spellEnd"/>
          </w:p>
        </w:tc>
      </w:tr>
      <w:tr w:rsidR="00AD11BD" w:rsidRPr="006838DC" w14:paraId="072B10EC" w14:textId="77777777">
        <w:tc>
          <w:tcPr>
            <w:tcW w:w="2880" w:type="dxa"/>
          </w:tcPr>
          <w:p w14:paraId="7D6885F1" w14:textId="77777777" w:rsidR="00AD11BD" w:rsidRPr="008D178A" w:rsidRDefault="003F195D">
            <w:pPr>
              <w:rPr>
                <w:lang w:val="fr-FR"/>
              </w:rPr>
            </w:pPr>
            <w:r w:rsidRPr="008D178A">
              <w:rPr>
                <w:lang w:val="fr-FR"/>
              </w:rPr>
              <w:t>Finitions intérieures (sols, peinture, salle de bain, cuisine, mobilier)</w:t>
            </w:r>
          </w:p>
        </w:tc>
        <w:tc>
          <w:tcPr>
            <w:tcW w:w="2880" w:type="dxa"/>
          </w:tcPr>
          <w:p w14:paraId="2DE75EA5" w14:textId="383210D0" w:rsidR="00AD11BD" w:rsidRDefault="00D922AD" w:rsidP="005151D5">
            <w:pPr>
              <w:jc w:val="center"/>
            </w:pPr>
            <w:r>
              <w:t>10</w:t>
            </w:r>
            <w:r w:rsidR="003F195D">
              <w:t xml:space="preserve"> %</w:t>
            </w:r>
          </w:p>
        </w:tc>
        <w:tc>
          <w:tcPr>
            <w:tcW w:w="2880" w:type="dxa"/>
          </w:tcPr>
          <w:p w14:paraId="2026AF98" w14:textId="77777777" w:rsidR="00AD11BD" w:rsidRPr="008D178A" w:rsidRDefault="003F195D">
            <w:pPr>
              <w:rPr>
                <w:lang w:val="fr-FR"/>
              </w:rPr>
            </w:pPr>
            <w:r w:rsidRPr="008D178A">
              <w:rPr>
                <w:lang w:val="fr-FR"/>
              </w:rPr>
              <w:t>Constat final avant remise des clés</w:t>
            </w:r>
          </w:p>
        </w:tc>
      </w:tr>
    </w:tbl>
    <w:p w14:paraId="1A34D1C7" w14:textId="77777777" w:rsidR="00AD11BD" w:rsidRPr="008D178A" w:rsidRDefault="003F195D">
      <w:pPr>
        <w:rPr>
          <w:lang w:val="fr-FR"/>
        </w:rPr>
      </w:pPr>
      <w:r w:rsidRPr="008D178A">
        <w:rPr>
          <w:lang w:val="fr-FR"/>
        </w:rPr>
        <w:br/>
        <w:t>Chaque étape est constatée par un huissier tunisien agréé, garantissant l’exactitude de l’état des travaux avant tout nouveau versement.</w:t>
      </w:r>
    </w:p>
    <w:p w14:paraId="776080ED" w14:textId="77777777" w:rsidR="00AD11BD" w:rsidRPr="008D178A" w:rsidRDefault="003F195D">
      <w:pPr>
        <w:pStyle w:val="Titre2"/>
        <w:rPr>
          <w:lang w:val="fr-FR"/>
        </w:rPr>
      </w:pPr>
      <w:r w:rsidRPr="008D178A">
        <w:rPr>
          <w:lang w:val="fr-FR"/>
        </w:rPr>
        <w:t>Droit de départ et conditions d’usage</w:t>
      </w:r>
    </w:p>
    <w:p w14:paraId="4C3F08CC" w14:textId="7926A160" w:rsidR="00AD11BD" w:rsidRPr="008D178A" w:rsidRDefault="003F195D">
      <w:pPr>
        <w:rPr>
          <w:lang w:val="fr-FR"/>
        </w:rPr>
      </w:pPr>
      <w:r w:rsidRPr="008D178A">
        <w:rPr>
          <w:lang w:val="fr-FR"/>
        </w:rPr>
        <w:t>Le résident reste libre de quitter la résidence à tout moment pour motif légitime (raison médicale, retour en France, changement de situation). Le droit d’usage n’est ni cessible, ni transmissible, ni remboursable, afin de préserver la stabilité du cadre collectif.</w:t>
      </w:r>
      <w:r w:rsidRPr="008D178A">
        <w:rPr>
          <w:lang w:val="fr-FR"/>
        </w:rPr>
        <w:br/>
      </w:r>
      <w:r w:rsidRPr="008D178A">
        <w:rPr>
          <w:lang w:val="fr-FR"/>
        </w:rPr>
        <w:br/>
        <w:t xml:space="preserve">Les charges </w:t>
      </w:r>
      <w:r w:rsidR="00282303">
        <w:rPr>
          <w:lang w:val="fr-FR"/>
        </w:rPr>
        <w:t>et services de base</w:t>
      </w:r>
      <w:r w:rsidR="003F58D5">
        <w:rPr>
          <w:lang w:val="fr-FR"/>
        </w:rPr>
        <w:t xml:space="preserve"> cont</w:t>
      </w:r>
      <w:r w:rsidR="00282303">
        <w:rPr>
          <w:lang w:val="fr-FR"/>
        </w:rPr>
        <w:t>ractuelles</w:t>
      </w:r>
      <w:r w:rsidR="003F58D5">
        <w:rPr>
          <w:lang w:val="fr-FR"/>
        </w:rPr>
        <w:t xml:space="preserve"> sont</w:t>
      </w:r>
      <w:r w:rsidR="00502B65">
        <w:rPr>
          <w:lang w:val="fr-FR"/>
        </w:rPr>
        <w:t xml:space="preserve"> payables mensuellement</w:t>
      </w:r>
      <w:r w:rsidR="006F62FE">
        <w:rPr>
          <w:lang w:val="fr-FR"/>
        </w:rPr>
        <w:t xml:space="preserve"> d’avance</w:t>
      </w:r>
      <w:r w:rsidR="00502B65">
        <w:rPr>
          <w:lang w:val="fr-FR"/>
        </w:rPr>
        <w:t xml:space="preserve"> dès la remise des </w:t>
      </w:r>
      <w:r w:rsidR="00BB4649">
        <w:rPr>
          <w:lang w:val="fr-FR"/>
        </w:rPr>
        <w:t>clés et</w:t>
      </w:r>
      <w:r w:rsidR="006F62FE">
        <w:rPr>
          <w:lang w:val="fr-FR"/>
        </w:rPr>
        <w:t xml:space="preserve"> font l’objet d’un dépôt de garantie </w:t>
      </w:r>
      <w:r w:rsidR="00254892">
        <w:rPr>
          <w:lang w:val="fr-FR"/>
        </w:rPr>
        <w:t xml:space="preserve">de garantie </w:t>
      </w:r>
      <w:r w:rsidR="006F62FE">
        <w:rPr>
          <w:lang w:val="fr-FR"/>
        </w:rPr>
        <w:t>d’un mois en plus du premier mois</w:t>
      </w:r>
      <w:r w:rsidR="00BB4649">
        <w:rPr>
          <w:lang w:val="fr-FR"/>
        </w:rPr>
        <w:t xml:space="preserve"> de facturation. Elle</w:t>
      </w:r>
      <w:r w:rsidR="006F62FE">
        <w:rPr>
          <w:lang w:val="fr-FR"/>
        </w:rPr>
        <w:t xml:space="preserve"> </w:t>
      </w:r>
      <w:r w:rsidRPr="008D178A">
        <w:rPr>
          <w:lang w:val="fr-FR"/>
        </w:rPr>
        <w:t>couvrent l’ensemble des services de base communs et individuels suivants :</w:t>
      </w:r>
      <w:r w:rsidRPr="008D178A">
        <w:rPr>
          <w:lang w:val="fr-FR"/>
        </w:rPr>
        <w:br/>
        <w:t>• entretien des parties communes et des espaces extérieurs,</w:t>
      </w:r>
      <w:r w:rsidRPr="008D178A">
        <w:rPr>
          <w:lang w:val="fr-FR"/>
        </w:rPr>
        <w:br/>
        <w:t>• sécurité et maintenance technique,</w:t>
      </w:r>
      <w:r w:rsidR="00502B65">
        <w:rPr>
          <w:lang w:val="fr-FR"/>
        </w:rPr>
        <w:t xml:space="preserve"> avec présence d’un gardien24/7</w:t>
      </w:r>
      <w:r w:rsidRPr="008D178A">
        <w:rPr>
          <w:lang w:val="fr-FR"/>
        </w:rPr>
        <w:br/>
        <w:t>• eau, électricité et connexion internet,</w:t>
      </w:r>
      <w:r w:rsidRPr="008D178A">
        <w:rPr>
          <w:lang w:val="fr-FR"/>
        </w:rPr>
        <w:br/>
        <w:t>• ménage hebdomadaire du logement,</w:t>
      </w:r>
      <w:r w:rsidRPr="008D178A">
        <w:rPr>
          <w:lang w:val="fr-FR"/>
        </w:rPr>
        <w:br/>
        <w:t>• blanchissage du linge personnel et de maison,</w:t>
      </w:r>
      <w:r w:rsidRPr="008D178A">
        <w:rPr>
          <w:lang w:val="fr-FR"/>
        </w:rPr>
        <w:br/>
        <w:t>• conciergerie et assistance administrative,</w:t>
      </w:r>
      <w:r w:rsidRPr="008D178A">
        <w:rPr>
          <w:lang w:val="fr-FR"/>
        </w:rPr>
        <w:br/>
        <w:t xml:space="preserve">• </w:t>
      </w:r>
      <w:r w:rsidR="008D178A">
        <w:rPr>
          <w:lang w:val="fr-FR"/>
        </w:rPr>
        <w:t>Présence d’une équipe de soins sur s</w:t>
      </w:r>
      <w:r w:rsidR="00502B65">
        <w:rPr>
          <w:lang w:val="fr-FR"/>
        </w:rPr>
        <w:t>ite</w:t>
      </w:r>
      <w:r w:rsidRPr="008D178A">
        <w:rPr>
          <w:lang w:val="fr-FR"/>
        </w:rPr>
        <w:br/>
      </w:r>
      <w:r w:rsidRPr="008D178A">
        <w:rPr>
          <w:lang w:val="fr-FR"/>
        </w:rPr>
        <w:lastRenderedPageBreak/>
        <w:t xml:space="preserve">• </w:t>
      </w:r>
      <w:r w:rsidR="00543415">
        <w:rPr>
          <w:lang w:val="fr-FR"/>
        </w:rPr>
        <w:t xml:space="preserve">Une </w:t>
      </w:r>
      <w:r w:rsidRPr="008D178A">
        <w:rPr>
          <w:lang w:val="fr-FR"/>
        </w:rPr>
        <w:t>sortie</w:t>
      </w:r>
      <w:r w:rsidRPr="008D178A">
        <w:rPr>
          <w:lang w:val="fr-FR"/>
        </w:rPr>
        <w:t xml:space="preserve"> collectives hebdomadaires (marché, bord de mer, visite ou activité locale),</w:t>
      </w:r>
      <w:r w:rsidRPr="008D178A">
        <w:rPr>
          <w:lang w:val="fr-FR"/>
        </w:rPr>
        <w:br/>
        <w:t>• accès illimité à la piscine et au club house.</w:t>
      </w:r>
      <w:r w:rsidRPr="008D178A">
        <w:rPr>
          <w:lang w:val="fr-FR"/>
        </w:rPr>
        <w:br/>
      </w:r>
      <w:r w:rsidRPr="008D178A">
        <w:rPr>
          <w:lang w:val="fr-FR"/>
        </w:rPr>
        <w:br/>
        <w:t>Des prestations complémentaires peuvent être ajoutées selon les besoins : soins, accompagnement médical, repas sur place, ou assistance renforcée.</w:t>
      </w:r>
    </w:p>
    <w:p w14:paraId="294147F6" w14:textId="1B1F5F86" w:rsidR="00AD11BD" w:rsidRPr="00322514" w:rsidRDefault="003F195D">
      <w:pPr>
        <w:pStyle w:val="Titre2"/>
        <w:rPr>
          <w:lang w:val="fr-FR"/>
        </w:rPr>
      </w:pPr>
      <w:r w:rsidRPr="00322514">
        <w:rPr>
          <w:lang w:val="fr-FR"/>
        </w:rPr>
        <w:t>En résumé</w:t>
      </w:r>
      <w:r w:rsidR="00322514" w:rsidRPr="00322514">
        <w:rPr>
          <w:lang w:val="fr-FR"/>
        </w:rPr>
        <w:t xml:space="preserve"> pour une m</w:t>
      </w:r>
      <w:r w:rsidR="00322514">
        <w:rPr>
          <w:lang w:val="fr-FR"/>
        </w:rPr>
        <w:t>aison</w:t>
      </w:r>
      <w:r w:rsidR="008C395E">
        <w:rPr>
          <w:lang w:val="fr-FR"/>
        </w:rPr>
        <w:t xml:space="preserve"> adaptée, </w:t>
      </w:r>
      <w:r w:rsidR="0024587C">
        <w:rPr>
          <w:lang w:val="fr-FR"/>
        </w:rPr>
        <w:t xml:space="preserve"> modèle de base de 70 m2 avec terrasse</w:t>
      </w:r>
    </w:p>
    <w:tbl>
      <w:tblPr>
        <w:tblW w:w="0" w:type="auto"/>
        <w:tblLook w:val="04A0" w:firstRow="1" w:lastRow="0" w:firstColumn="1" w:lastColumn="0" w:noHBand="0" w:noVBand="1"/>
      </w:tblPr>
      <w:tblGrid>
        <w:gridCol w:w="4320"/>
        <w:gridCol w:w="4320"/>
      </w:tblGrid>
      <w:tr w:rsidR="00AD11BD" w14:paraId="33A096E8" w14:textId="77777777">
        <w:tc>
          <w:tcPr>
            <w:tcW w:w="4320" w:type="dxa"/>
          </w:tcPr>
          <w:p w14:paraId="487277A4" w14:textId="5B889EEF" w:rsidR="00AD11BD" w:rsidRDefault="003F195D">
            <w:proofErr w:type="spellStart"/>
            <w:r>
              <w:t>Élément</w:t>
            </w:r>
            <w:r w:rsidR="00322514">
              <w:t>s</w:t>
            </w:r>
            <w:proofErr w:type="spellEnd"/>
          </w:p>
        </w:tc>
        <w:tc>
          <w:tcPr>
            <w:tcW w:w="4320" w:type="dxa"/>
          </w:tcPr>
          <w:p w14:paraId="6A64AF29" w14:textId="23461DDA" w:rsidR="00AD11BD" w:rsidRDefault="003F195D">
            <w:proofErr w:type="spellStart"/>
            <w:r>
              <w:t>Modalité</w:t>
            </w:r>
            <w:r w:rsidR="00322514">
              <w:t>s</w:t>
            </w:r>
            <w:proofErr w:type="spellEnd"/>
          </w:p>
        </w:tc>
      </w:tr>
      <w:tr w:rsidR="00AD11BD" w:rsidRPr="006838DC" w14:paraId="1BB09244" w14:textId="77777777">
        <w:tc>
          <w:tcPr>
            <w:tcW w:w="4320" w:type="dxa"/>
          </w:tcPr>
          <w:p w14:paraId="32CA020C" w14:textId="77777777" w:rsidR="00AD11BD" w:rsidRDefault="003F195D">
            <w:r>
              <w:t>Type de droit</w:t>
            </w:r>
          </w:p>
        </w:tc>
        <w:tc>
          <w:tcPr>
            <w:tcW w:w="4320" w:type="dxa"/>
          </w:tcPr>
          <w:p w14:paraId="0ABD4FF1" w14:textId="77777777" w:rsidR="00AD11BD" w:rsidRPr="008D178A" w:rsidRDefault="003F195D">
            <w:pPr>
              <w:rPr>
                <w:lang w:val="fr-FR"/>
              </w:rPr>
            </w:pPr>
            <w:r w:rsidRPr="008D178A">
              <w:rPr>
                <w:lang w:val="fr-FR"/>
              </w:rPr>
              <w:t>Droit d’usage résidentiel à durée indéterminée</w:t>
            </w:r>
          </w:p>
        </w:tc>
      </w:tr>
      <w:tr w:rsidR="00AD11BD" w14:paraId="602DCE43" w14:textId="77777777">
        <w:tc>
          <w:tcPr>
            <w:tcW w:w="4320" w:type="dxa"/>
          </w:tcPr>
          <w:p w14:paraId="5FE7F9A4" w14:textId="77777777" w:rsidR="00AD11BD" w:rsidRDefault="003F195D">
            <w:r>
              <w:t xml:space="preserve">Droit </w:t>
            </w:r>
            <w:proofErr w:type="spellStart"/>
            <w:r>
              <w:t>d’entrée</w:t>
            </w:r>
            <w:proofErr w:type="spellEnd"/>
          </w:p>
        </w:tc>
        <w:tc>
          <w:tcPr>
            <w:tcW w:w="4320" w:type="dxa"/>
          </w:tcPr>
          <w:p w14:paraId="6160F898" w14:textId="77777777" w:rsidR="00AD11BD" w:rsidRDefault="003F195D">
            <w:r>
              <w:t>40 000 €</w:t>
            </w:r>
          </w:p>
        </w:tc>
      </w:tr>
      <w:tr w:rsidR="00AD11BD" w14:paraId="505F3A46" w14:textId="77777777">
        <w:tc>
          <w:tcPr>
            <w:tcW w:w="4320" w:type="dxa"/>
          </w:tcPr>
          <w:p w14:paraId="584EC185" w14:textId="77777777" w:rsidR="00AD11BD" w:rsidRPr="008D178A" w:rsidRDefault="003F195D">
            <w:pPr>
              <w:rPr>
                <w:lang w:val="fr-FR"/>
              </w:rPr>
            </w:pPr>
            <w:r w:rsidRPr="008D178A">
              <w:rPr>
                <w:lang w:val="fr-FR"/>
              </w:rPr>
              <w:t>Mensualité (à partir de la 3</w:t>
            </w:r>
            <w:r>
              <w:t>ᵉ</w:t>
            </w:r>
            <w:r w:rsidRPr="008D178A">
              <w:rPr>
                <w:lang w:val="fr-FR"/>
              </w:rPr>
              <w:t xml:space="preserve"> année)</w:t>
            </w:r>
          </w:p>
        </w:tc>
        <w:tc>
          <w:tcPr>
            <w:tcW w:w="4320" w:type="dxa"/>
          </w:tcPr>
          <w:p w14:paraId="6062FBB5" w14:textId="77777777" w:rsidR="00AD11BD" w:rsidRDefault="003F195D">
            <w:r>
              <w:t>890 €</w:t>
            </w:r>
          </w:p>
        </w:tc>
      </w:tr>
      <w:tr w:rsidR="00AD11BD" w14:paraId="5F61B67F" w14:textId="77777777">
        <w:tc>
          <w:tcPr>
            <w:tcW w:w="4320" w:type="dxa"/>
          </w:tcPr>
          <w:p w14:paraId="704B825E" w14:textId="77777777" w:rsidR="00AD11BD" w:rsidRDefault="003F195D">
            <w:r>
              <w:t>Franchise</w:t>
            </w:r>
          </w:p>
        </w:tc>
        <w:tc>
          <w:tcPr>
            <w:tcW w:w="4320" w:type="dxa"/>
          </w:tcPr>
          <w:p w14:paraId="1BD5426B" w14:textId="77777777" w:rsidR="00AD11BD" w:rsidRDefault="003F195D">
            <w:r>
              <w:t>24 mois</w:t>
            </w:r>
          </w:p>
        </w:tc>
      </w:tr>
      <w:tr w:rsidR="00AD11BD" w:rsidRPr="006838DC" w14:paraId="077EF3BF" w14:textId="77777777">
        <w:tc>
          <w:tcPr>
            <w:tcW w:w="4320" w:type="dxa"/>
          </w:tcPr>
          <w:p w14:paraId="42A305BF" w14:textId="77777777" w:rsidR="00AD11BD" w:rsidRDefault="003F195D">
            <w:r>
              <w:t>Contrat</w:t>
            </w:r>
          </w:p>
        </w:tc>
        <w:tc>
          <w:tcPr>
            <w:tcW w:w="4320" w:type="dxa"/>
          </w:tcPr>
          <w:p w14:paraId="0320418A" w14:textId="77777777" w:rsidR="00AD11BD" w:rsidRPr="008D178A" w:rsidRDefault="003F195D">
            <w:pPr>
              <w:rPr>
                <w:lang w:val="fr-FR"/>
              </w:rPr>
            </w:pPr>
            <w:r w:rsidRPr="008D178A">
              <w:rPr>
                <w:lang w:val="fr-FR"/>
              </w:rPr>
              <w:t>Enregistré auprès des autorités tunisiennes</w:t>
            </w:r>
          </w:p>
        </w:tc>
      </w:tr>
      <w:tr w:rsidR="00AD11BD" w14:paraId="025EC393" w14:textId="77777777">
        <w:tc>
          <w:tcPr>
            <w:tcW w:w="4320" w:type="dxa"/>
          </w:tcPr>
          <w:p w14:paraId="2C59AB1A" w14:textId="77777777" w:rsidR="00AD11BD" w:rsidRDefault="003F195D">
            <w:proofErr w:type="spellStart"/>
            <w:r>
              <w:t>Dépôt</w:t>
            </w:r>
            <w:proofErr w:type="spellEnd"/>
            <w:r>
              <w:t xml:space="preserve"> des fonds</w:t>
            </w:r>
          </w:p>
        </w:tc>
        <w:tc>
          <w:tcPr>
            <w:tcW w:w="4320" w:type="dxa"/>
          </w:tcPr>
          <w:p w14:paraId="0705BE36" w14:textId="77777777" w:rsidR="00AD11BD" w:rsidRDefault="003F195D">
            <w:r>
              <w:t>Librensemble ou notaire français</w:t>
            </w:r>
          </w:p>
        </w:tc>
      </w:tr>
      <w:tr w:rsidR="00AD11BD" w14:paraId="58DB9B76" w14:textId="77777777">
        <w:tc>
          <w:tcPr>
            <w:tcW w:w="4320" w:type="dxa"/>
          </w:tcPr>
          <w:p w14:paraId="08817EBD" w14:textId="77777777" w:rsidR="00AD11BD" w:rsidRDefault="003F195D">
            <w:r>
              <w:t>Échelonnement</w:t>
            </w:r>
          </w:p>
        </w:tc>
        <w:tc>
          <w:tcPr>
            <w:tcW w:w="4320" w:type="dxa"/>
          </w:tcPr>
          <w:p w14:paraId="6AE7C774" w14:textId="0610606F" w:rsidR="00AD11BD" w:rsidRDefault="00322514">
            <w:proofErr w:type="spellStart"/>
            <w:r>
              <w:t>S</w:t>
            </w:r>
            <w:r w:rsidR="003F195D">
              <w:t>elon</w:t>
            </w:r>
            <w:proofErr w:type="spellEnd"/>
            <w:r w:rsidR="003F195D">
              <w:t xml:space="preserve"> </w:t>
            </w:r>
            <w:proofErr w:type="spellStart"/>
            <w:r w:rsidR="003F195D">
              <w:t>avancement</w:t>
            </w:r>
            <w:proofErr w:type="spellEnd"/>
          </w:p>
        </w:tc>
      </w:tr>
      <w:tr w:rsidR="00AD11BD" w14:paraId="0A795337" w14:textId="77777777">
        <w:tc>
          <w:tcPr>
            <w:tcW w:w="4320" w:type="dxa"/>
          </w:tcPr>
          <w:p w14:paraId="7BE7ED95" w14:textId="77777777" w:rsidR="00AD11BD" w:rsidRDefault="003F195D">
            <w:r>
              <w:t>Cessibilité / Transmission / Remboursement</w:t>
            </w:r>
          </w:p>
        </w:tc>
        <w:tc>
          <w:tcPr>
            <w:tcW w:w="4320" w:type="dxa"/>
          </w:tcPr>
          <w:p w14:paraId="0B9266AB" w14:textId="77777777" w:rsidR="00AD11BD" w:rsidRDefault="003F195D">
            <w:r>
              <w:t>Non</w:t>
            </w:r>
          </w:p>
        </w:tc>
      </w:tr>
      <w:tr w:rsidR="00AD11BD" w14:paraId="02AA84BC" w14:textId="77777777">
        <w:tc>
          <w:tcPr>
            <w:tcW w:w="4320" w:type="dxa"/>
          </w:tcPr>
          <w:p w14:paraId="6B7A1515" w14:textId="77777777" w:rsidR="00AD11BD" w:rsidRDefault="003F195D">
            <w:r>
              <w:t>Résiliation</w:t>
            </w:r>
          </w:p>
        </w:tc>
        <w:tc>
          <w:tcPr>
            <w:tcW w:w="4320" w:type="dxa"/>
          </w:tcPr>
          <w:p w14:paraId="4587B7FF" w14:textId="77777777" w:rsidR="00AD11BD" w:rsidRDefault="003F195D">
            <w:r>
              <w:t>Possible pour motif légitime</w:t>
            </w:r>
          </w:p>
        </w:tc>
      </w:tr>
      <w:tr w:rsidR="00AD11BD" w:rsidRPr="006838DC" w14:paraId="253329BD" w14:textId="77777777">
        <w:tc>
          <w:tcPr>
            <w:tcW w:w="4320" w:type="dxa"/>
          </w:tcPr>
          <w:p w14:paraId="62B2E4A1" w14:textId="77777777" w:rsidR="00AD11BD" w:rsidRDefault="003F195D">
            <w:r>
              <w:t>Charges forfaitaires</w:t>
            </w:r>
          </w:p>
        </w:tc>
        <w:tc>
          <w:tcPr>
            <w:tcW w:w="4320" w:type="dxa"/>
          </w:tcPr>
          <w:p w14:paraId="03F9E782" w14:textId="7D0BBA04" w:rsidR="00AD11BD" w:rsidRPr="008D178A" w:rsidRDefault="00502B65">
            <w:pPr>
              <w:rPr>
                <w:lang w:val="fr-FR"/>
              </w:rPr>
            </w:pPr>
            <w:r>
              <w:rPr>
                <w:lang w:val="fr-FR"/>
              </w:rPr>
              <w:t xml:space="preserve"> </w:t>
            </w:r>
            <w:r w:rsidRPr="008D178A">
              <w:rPr>
                <w:lang w:val="fr-FR"/>
              </w:rPr>
              <w:t xml:space="preserve">Obligatoires – comprennent services de base, ménage, blanchissage, conciergerie, assistance, </w:t>
            </w:r>
            <w:r w:rsidR="00322514">
              <w:rPr>
                <w:lang w:val="fr-FR"/>
              </w:rPr>
              <w:t>une</w:t>
            </w:r>
            <w:r w:rsidRPr="008D178A">
              <w:rPr>
                <w:lang w:val="fr-FR"/>
              </w:rPr>
              <w:t xml:space="preserve"> sortie/semaine</w:t>
            </w:r>
          </w:p>
        </w:tc>
      </w:tr>
      <w:tr w:rsidR="00AD11BD" w:rsidRPr="006838DC" w14:paraId="5D686782" w14:textId="77777777">
        <w:tc>
          <w:tcPr>
            <w:tcW w:w="4320" w:type="dxa"/>
          </w:tcPr>
          <w:p w14:paraId="36D50463" w14:textId="77777777" w:rsidR="00AD11BD" w:rsidRDefault="003F195D">
            <w:proofErr w:type="spellStart"/>
            <w:r>
              <w:t>Garanties</w:t>
            </w:r>
            <w:proofErr w:type="spellEnd"/>
          </w:p>
        </w:tc>
        <w:tc>
          <w:tcPr>
            <w:tcW w:w="4320" w:type="dxa"/>
          </w:tcPr>
          <w:p w14:paraId="251623CE" w14:textId="77777777" w:rsidR="00AD11BD" w:rsidRPr="008D178A" w:rsidRDefault="003F195D">
            <w:pPr>
              <w:rPr>
                <w:lang w:val="fr-FR"/>
              </w:rPr>
            </w:pPr>
            <w:r w:rsidRPr="008D178A">
              <w:rPr>
                <w:lang w:val="fr-FR"/>
              </w:rPr>
              <w:t>Constat d’huissier à chaque étape de construction</w:t>
            </w:r>
          </w:p>
        </w:tc>
      </w:tr>
    </w:tbl>
    <w:p w14:paraId="0957BF9F" w14:textId="77777777" w:rsidR="00EA180C" w:rsidRPr="008D178A" w:rsidRDefault="00EA180C">
      <w:pPr>
        <w:rPr>
          <w:lang w:val="fr-FR"/>
        </w:rPr>
      </w:pPr>
    </w:p>
    <w:sectPr w:rsidR="00EA180C" w:rsidRPr="008D17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982806222">
    <w:abstractNumId w:val="8"/>
  </w:num>
  <w:num w:numId="2" w16cid:durableId="1155340701">
    <w:abstractNumId w:val="6"/>
  </w:num>
  <w:num w:numId="3" w16cid:durableId="1540508233">
    <w:abstractNumId w:val="5"/>
  </w:num>
  <w:num w:numId="4" w16cid:durableId="1960453474">
    <w:abstractNumId w:val="4"/>
  </w:num>
  <w:num w:numId="5" w16cid:durableId="1549103179">
    <w:abstractNumId w:val="7"/>
  </w:num>
  <w:num w:numId="6" w16cid:durableId="2132091777">
    <w:abstractNumId w:val="3"/>
  </w:num>
  <w:num w:numId="7" w16cid:durableId="156069098">
    <w:abstractNumId w:val="2"/>
  </w:num>
  <w:num w:numId="8" w16cid:durableId="875895059">
    <w:abstractNumId w:val="1"/>
  </w:num>
  <w:num w:numId="9" w16cid:durableId="99464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47F0"/>
    <w:rsid w:val="001F2F5E"/>
    <w:rsid w:val="0024587C"/>
    <w:rsid w:val="00254892"/>
    <w:rsid w:val="00282303"/>
    <w:rsid w:val="0029639D"/>
    <w:rsid w:val="00322514"/>
    <w:rsid w:val="00326F90"/>
    <w:rsid w:val="003F195D"/>
    <w:rsid w:val="003F58D5"/>
    <w:rsid w:val="00502B65"/>
    <w:rsid w:val="005151D5"/>
    <w:rsid w:val="00543415"/>
    <w:rsid w:val="006838DC"/>
    <w:rsid w:val="00696342"/>
    <w:rsid w:val="006F62FE"/>
    <w:rsid w:val="00773046"/>
    <w:rsid w:val="008C395E"/>
    <w:rsid w:val="008D178A"/>
    <w:rsid w:val="0095631D"/>
    <w:rsid w:val="009C7A88"/>
    <w:rsid w:val="00A132CD"/>
    <w:rsid w:val="00A22336"/>
    <w:rsid w:val="00A313CE"/>
    <w:rsid w:val="00AA1D8D"/>
    <w:rsid w:val="00AD11BD"/>
    <w:rsid w:val="00AF3F20"/>
    <w:rsid w:val="00B47730"/>
    <w:rsid w:val="00BB4649"/>
    <w:rsid w:val="00CB0664"/>
    <w:rsid w:val="00D922AD"/>
    <w:rsid w:val="00D9340F"/>
    <w:rsid w:val="00DC19F9"/>
    <w:rsid w:val="00EA18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9E75E"/>
  <w14:defaultImageDpi w14:val="300"/>
  <w15:docId w15:val="{6B32F5D7-FBDF-429D-993B-A62EFE6A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785</Words>
  <Characters>4526</Characters>
  <Application>Microsoft Office Word</Application>
  <DocSecurity>0</DocSecurity>
  <Lines>129</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Dovert Guy</cp:lastModifiedBy>
  <cp:revision>24</cp:revision>
  <dcterms:created xsi:type="dcterms:W3CDTF">2013-12-23T23:15:00Z</dcterms:created>
  <dcterms:modified xsi:type="dcterms:W3CDTF">2025-11-02T09:39:00Z</dcterms:modified>
  <cp:category/>
</cp:coreProperties>
</file>